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14815" w14:textId="365D5D7E" w:rsidR="00C4221E" w:rsidRPr="002A1C35" w:rsidRDefault="00C4221E" w:rsidP="00C4221E">
      <w:pPr>
        <w:widowControl/>
        <w:wordWrap/>
        <w:autoSpaceDE/>
        <w:autoSpaceDN/>
        <w:spacing w:after="0" w:line="480" w:lineRule="auto"/>
        <w:rPr>
          <w:rFonts w:ascii="Times New Roman" w:hAnsi="Times New Roman" w:cs="Times New Roman"/>
          <w:b/>
          <w:bCs/>
          <w:iCs/>
          <w:szCs w:val="20"/>
        </w:rPr>
      </w:pPr>
      <w:r>
        <w:rPr>
          <w:rFonts w:ascii="Times New Roman" w:hAnsi="Times New Roman" w:cs="Times New Roman"/>
          <w:b/>
          <w:bCs/>
          <w:iCs/>
          <w:szCs w:val="20"/>
        </w:rPr>
        <w:t xml:space="preserve">Supplementary </w:t>
      </w:r>
      <w:r w:rsidRPr="002A1C35">
        <w:rPr>
          <w:rFonts w:ascii="Times New Roman" w:hAnsi="Times New Roman" w:cs="Times New Roman" w:hint="eastAsia"/>
          <w:b/>
          <w:bCs/>
          <w:iCs/>
          <w:szCs w:val="20"/>
        </w:rPr>
        <w:t>F</w:t>
      </w:r>
      <w:r w:rsidRPr="002A1C35">
        <w:rPr>
          <w:rFonts w:ascii="Times New Roman" w:hAnsi="Times New Roman" w:cs="Times New Roman"/>
          <w:b/>
          <w:bCs/>
          <w:iCs/>
          <w:szCs w:val="20"/>
        </w:rPr>
        <w:t>igure legends</w:t>
      </w:r>
    </w:p>
    <w:p w14:paraId="6E671E66" w14:textId="77777777" w:rsidR="00C4221E" w:rsidRDefault="00C4221E" w:rsidP="00C4221E">
      <w:pPr>
        <w:widowControl/>
        <w:wordWrap/>
        <w:autoSpaceDE/>
        <w:autoSpaceDN/>
        <w:spacing w:after="0" w:line="480" w:lineRule="auto"/>
        <w:rPr>
          <w:rFonts w:ascii="Times New Roman" w:hAnsi="Times New Roman" w:cs="Times New Roman"/>
          <w:bCs/>
          <w:iCs/>
          <w:szCs w:val="20"/>
        </w:rPr>
      </w:pPr>
    </w:p>
    <w:p w14:paraId="5AE70C99" w14:textId="068D8E14" w:rsidR="00E02B6C" w:rsidRDefault="00E02B6C" w:rsidP="00C4221E">
      <w:pPr>
        <w:widowControl/>
        <w:wordWrap/>
        <w:autoSpaceDE/>
        <w:autoSpaceDN/>
        <w:spacing w:after="0" w:line="480" w:lineRule="auto"/>
        <w:rPr>
          <w:rFonts w:ascii="Times New Roman" w:hAnsi="Times New Roman" w:cs="Times New Roman"/>
          <w:bCs/>
          <w:iCs/>
          <w:szCs w:val="20"/>
        </w:rPr>
      </w:pPr>
      <w:r>
        <w:rPr>
          <w:rFonts w:ascii="Times New Roman" w:hAnsi="Times New Roman" w:cs="Times New Roman"/>
          <w:bCs/>
          <w:iCs/>
          <w:noProof/>
          <w:szCs w:val="20"/>
        </w:rPr>
        <w:drawing>
          <wp:inline distT="0" distB="0" distL="0" distR="0" wp14:anchorId="7F903C99" wp14:editId="49C87E0F">
            <wp:extent cx="5731510" cy="2865755"/>
            <wp:effectExtent l="0" t="0" r="2540" b="0"/>
            <wp:docPr id="1202005754" name="Picture 1" descr="A diagram of different types of molecul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005754" name="Picture 1" descr="A diagram of different types of molecules&#10;&#10;AI-generated content may be incorrect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6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1B6DF" w14:textId="77777777" w:rsidR="00E02B6C" w:rsidRDefault="00E02B6C" w:rsidP="00C4221E">
      <w:pPr>
        <w:widowControl/>
        <w:wordWrap/>
        <w:autoSpaceDE/>
        <w:autoSpaceDN/>
        <w:spacing w:after="0" w:line="480" w:lineRule="auto"/>
        <w:rPr>
          <w:rFonts w:ascii="Times New Roman" w:hAnsi="Times New Roman" w:cs="Times New Roman"/>
          <w:bCs/>
          <w:iCs/>
          <w:szCs w:val="20"/>
        </w:rPr>
      </w:pPr>
    </w:p>
    <w:p w14:paraId="5B3E905A" w14:textId="687C9F4A" w:rsidR="008B5B56" w:rsidRPr="00F277A1" w:rsidRDefault="00C4221E" w:rsidP="008B5B56">
      <w:pPr>
        <w:widowControl/>
        <w:wordWrap/>
        <w:autoSpaceDE/>
        <w:autoSpaceDN/>
        <w:spacing w:after="0" w:line="480" w:lineRule="auto"/>
        <w:rPr>
          <w:rFonts w:ascii="Times New Roman" w:hAnsi="Times New Roman" w:cs="Times New Roman"/>
          <w:bCs/>
          <w:iCs/>
          <w:szCs w:val="20"/>
        </w:rPr>
      </w:pPr>
      <w:r>
        <w:rPr>
          <w:rFonts w:ascii="Times New Roman" w:hAnsi="Times New Roman" w:cs="Times New Roman"/>
          <w:bCs/>
          <w:iCs/>
          <w:szCs w:val="20"/>
        </w:rPr>
        <w:t xml:space="preserve">Supplementary </w:t>
      </w:r>
      <w:r w:rsidRPr="006B2271">
        <w:rPr>
          <w:rFonts w:ascii="Times New Roman" w:hAnsi="Times New Roman" w:cs="Times New Roman"/>
          <w:bCs/>
          <w:iCs/>
          <w:szCs w:val="20"/>
        </w:rPr>
        <w:t xml:space="preserve">Figure 1. </w:t>
      </w:r>
      <w:r w:rsidR="008B5B56" w:rsidRPr="00F277A1">
        <w:rPr>
          <w:rFonts w:ascii="Times New Roman" w:hAnsi="Times New Roman" w:cs="Times New Roman"/>
          <w:bCs/>
          <w:iCs/>
          <w:szCs w:val="20"/>
        </w:rPr>
        <w:t xml:space="preserve">UMAP and violin plots </w:t>
      </w:r>
      <w:r w:rsidR="008B5B56">
        <w:rPr>
          <w:rFonts w:ascii="Times New Roman" w:hAnsi="Times New Roman" w:cs="Times New Roman"/>
          <w:bCs/>
          <w:iCs/>
          <w:szCs w:val="20"/>
        </w:rPr>
        <w:t>for</w:t>
      </w:r>
      <w:r w:rsidR="008B5B56" w:rsidRPr="00F277A1">
        <w:rPr>
          <w:rFonts w:ascii="Times New Roman" w:hAnsi="Times New Roman" w:cs="Times New Roman"/>
          <w:bCs/>
          <w:iCs/>
          <w:szCs w:val="20"/>
        </w:rPr>
        <w:t xml:space="preserve"> </w:t>
      </w:r>
      <w:r w:rsidR="008833BF">
        <w:rPr>
          <w:rFonts w:ascii="Times New Roman" w:hAnsi="Times New Roman" w:cs="Times New Roman"/>
          <w:bCs/>
          <w:iCs/>
          <w:szCs w:val="20"/>
        </w:rPr>
        <w:t>alleged imaging targets</w:t>
      </w:r>
      <w:r w:rsidR="008B5B56" w:rsidRPr="00F277A1">
        <w:rPr>
          <w:rFonts w:ascii="Times New Roman" w:hAnsi="Times New Roman" w:cs="Times New Roman"/>
          <w:bCs/>
          <w:iCs/>
          <w:szCs w:val="20"/>
        </w:rPr>
        <w:t xml:space="preserve"> identified from scRNA-seq data</w:t>
      </w:r>
    </w:p>
    <w:p w14:paraId="45789FC9" w14:textId="0B6B08D5" w:rsidR="00695EAB" w:rsidRDefault="008B5B56" w:rsidP="008B5B56">
      <w:pPr>
        <w:widowControl/>
        <w:wordWrap/>
        <w:autoSpaceDE/>
        <w:autoSpaceDN/>
        <w:spacing w:after="0" w:line="480" w:lineRule="auto"/>
        <w:rPr>
          <w:rFonts w:ascii="Times New Roman" w:hAnsi="Times New Roman" w:cs="Times New Roman"/>
          <w:bCs/>
          <w:iCs/>
          <w:szCs w:val="20"/>
        </w:rPr>
      </w:pPr>
      <w:r w:rsidRPr="00F277A1">
        <w:rPr>
          <w:rFonts w:ascii="Times New Roman" w:hAnsi="Times New Roman" w:cs="Times New Roman"/>
          <w:bCs/>
          <w:iCs/>
          <w:szCs w:val="20"/>
        </w:rPr>
        <w:t>(A) The UMAP plot visually confirm</w:t>
      </w:r>
      <w:r w:rsidR="00537E06">
        <w:rPr>
          <w:rFonts w:ascii="Times New Roman" w:hAnsi="Times New Roman" w:cs="Times New Roman"/>
          <w:bCs/>
          <w:iCs/>
          <w:szCs w:val="20"/>
        </w:rPr>
        <w:t>ed</w:t>
      </w:r>
      <w:r w:rsidRPr="00F277A1">
        <w:rPr>
          <w:rFonts w:ascii="Times New Roman" w:hAnsi="Times New Roman" w:cs="Times New Roman"/>
          <w:bCs/>
          <w:iCs/>
          <w:szCs w:val="20"/>
        </w:rPr>
        <w:t xml:space="preserve"> </w:t>
      </w:r>
      <w:r w:rsidR="00F1594D" w:rsidRPr="00CC5BE5">
        <w:rPr>
          <w:rFonts w:ascii="Times New Roman" w:hAnsi="Times New Roman" w:cs="Times New Roman"/>
          <w:color w:val="000000" w:themeColor="text1"/>
          <w:szCs w:val="20"/>
        </w:rPr>
        <w:t xml:space="preserve">that none </w:t>
      </w:r>
      <w:r w:rsidR="00537E06">
        <w:rPr>
          <w:rFonts w:ascii="Times New Roman" w:hAnsi="Times New Roman" w:cs="Times New Roman"/>
          <w:color w:val="000000" w:themeColor="text1"/>
          <w:szCs w:val="20"/>
        </w:rPr>
        <w:t>were</w:t>
      </w:r>
      <w:r w:rsidR="00F1594D" w:rsidRPr="00CC5BE5">
        <w:rPr>
          <w:rFonts w:ascii="Times New Roman" w:hAnsi="Times New Roman" w:cs="Times New Roman"/>
          <w:color w:val="000000" w:themeColor="text1"/>
          <w:szCs w:val="20"/>
        </w:rPr>
        <w:t xml:space="preserve"> sufficiently expressed </w:t>
      </w:r>
      <w:r w:rsidR="00F1594D">
        <w:rPr>
          <w:rFonts w:ascii="Times New Roman" w:hAnsi="Times New Roman" w:cs="Times New Roman"/>
          <w:color w:val="000000" w:themeColor="text1"/>
          <w:szCs w:val="20"/>
        </w:rPr>
        <w:t xml:space="preserve">higher </w:t>
      </w:r>
      <w:r w:rsidR="00F1594D" w:rsidRPr="00CC5BE5">
        <w:rPr>
          <w:rFonts w:ascii="Times New Roman" w:hAnsi="Times New Roman" w:cs="Times New Roman"/>
          <w:color w:val="000000" w:themeColor="text1"/>
          <w:szCs w:val="20"/>
        </w:rPr>
        <w:t>in TNBC</w:t>
      </w:r>
      <w:r w:rsidRPr="00F277A1">
        <w:rPr>
          <w:rFonts w:ascii="Times New Roman" w:hAnsi="Times New Roman" w:cs="Times New Roman"/>
          <w:bCs/>
          <w:iCs/>
          <w:szCs w:val="20"/>
        </w:rPr>
        <w:t xml:space="preserve">. (B) </w:t>
      </w:r>
      <w:r w:rsidR="00A95AF3" w:rsidRPr="00A95AF3">
        <w:rPr>
          <w:rFonts w:ascii="Times New Roman" w:hAnsi="Times New Roman" w:cs="Times New Roman"/>
          <w:bCs/>
          <w:iCs/>
          <w:szCs w:val="20"/>
        </w:rPr>
        <w:t xml:space="preserve">Despite the statistical significance indicated by the </w:t>
      </w:r>
      <w:r w:rsidR="006A634B">
        <w:rPr>
          <w:rFonts w:ascii="Times New Roman" w:hAnsi="Times New Roman" w:cs="Times New Roman"/>
          <w:color w:val="000000" w:themeColor="text1"/>
        </w:rPr>
        <w:t>Wilcoxon rank-sum test</w:t>
      </w:r>
      <w:r w:rsidR="00A95AF3" w:rsidRPr="00A95AF3">
        <w:rPr>
          <w:rFonts w:ascii="Times New Roman" w:hAnsi="Times New Roman" w:cs="Times New Roman"/>
          <w:bCs/>
          <w:iCs/>
          <w:szCs w:val="20"/>
        </w:rPr>
        <w:t xml:space="preserve">, the violin plots demonstrated that there was no </w:t>
      </w:r>
      <w:r w:rsidR="00A95AF3">
        <w:rPr>
          <w:rFonts w:ascii="Times New Roman" w:hAnsi="Times New Roman" w:cs="Times New Roman" w:hint="eastAsia"/>
          <w:bCs/>
          <w:iCs/>
          <w:szCs w:val="20"/>
        </w:rPr>
        <w:t>s</w:t>
      </w:r>
      <w:r w:rsidR="00A95AF3">
        <w:rPr>
          <w:rFonts w:ascii="Times New Roman" w:hAnsi="Times New Roman" w:cs="Times New Roman"/>
          <w:bCs/>
          <w:iCs/>
          <w:szCs w:val="20"/>
        </w:rPr>
        <w:t xml:space="preserve">ubstantial </w:t>
      </w:r>
      <w:r w:rsidR="00A95AF3" w:rsidRPr="00A95AF3">
        <w:rPr>
          <w:rFonts w:ascii="Times New Roman" w:hAnsi="Times New Roman" w:cs="Times New Roman"/>
          <w:bCs/>
          <w:iCs/>
          <w:szCs w:val="20"/>
        </w:rPr>
        <w:t>difference in protein expression, consistent with the finding that the log2 fold change was less than 1.</w:t>
      </w:r>
    </w:p>
    <w:p w14:paraId="633868F6" w14:textId="0F72DEA8" w:rsidR="00272068" w:rsidRDefault="00272068" w:rsidP="008B5B56">
      <w:pPr>
        <w:widowControl/>
        <w:wordWrap/>
        <w:autoSpaceDE/>
        <w:autoSpaceDN/>
        <w:spacing w:after="0" w:line="480" w:lineRule="auto"/>
        <w:rPr>
          <w:rFonts w:ascii="Times New Roman" w:hAnsi="Times New Roman" w:cs="Times New Roman"/>
          <w:bCs/>
          <w:iCs/>
          <w:szCs w:val="20"/>
        </w:rPr>
      </w:pPr>
      <w:r w:rsidRPr="00EC4B50">
        <w:rPr>
          <w:rFonts w:ascii="Times New Roman" w:hAnsi="Times New Roman" w:cs="Times New Roman"/>
          <w:bCs/>
          <w:iCs/>
          <w:szCs w:val="20"/>
        </w:rPr>
        <w:t>UMAP</w:t>
      </w:r>
      <w:r>
        <w:rPr>
          <w:rFonts w:ascii="Times New Roman" w:hAnsi="Times New Roman" w:cs="Times New Roman"/>
          <w:bCs/>
          <w:iCs/>
          <w:szCs w:val="20"/>
        </w:rPr>
        <w:t>, u</w:t>
      </w:r>
      <w:r w:rsidRPr="00EC4B50">
        <w:rPr>
          <w:rFonts w:ascii="Times New Roman" w:hAnsi="Times New Roman" w:cs="Times New Roman"/>
          <w:bCs/>
          <w:iCs/>
          <w:szCs w:val="20"/>
        </w:rPr>
        <w:t xml:space="preserve">niform </w:t>
      </w:r>
      <w:r>
        <w:rPr>
          <w:rFonts w:ascii="Times New Roman" w:hAnsi="Times New Roman" w:cs="Times New Roman"/>
          <w:bCs/>
          <w:iCs/>
          <w:szCs w:val="20"/>
        </w:rPr>
        <w:t>m</w:t>
      </w:r>
      <w:r w:rsidRPr="00EC4B50">
        <w:rPr>
          <w:rFonts w:ascii="Times New Roman" w:hAnsi="Times New Roman" w:cs="Times New Roman"/>
          <w:bCs/>
          <w:iCs/>
          <w:szCs w:val="20"/>
        </w:rPr>
        <w:t xml:space="preserve">anifold </w:t>
      </w:r>
      <w:r>
        <w:rPr>
          <w:rFonts w:ascii="Times New Roman" w:hAnsi="Times New Roman" w:cs="Times New Roman"/>
          <w:bCs/>
          <w:iCs/>
          <w:szCs w:val="20"/>
        </w:rPr>
        <w:t>a</w:t>
      </w:r>
      <w:r w:rsidRPr="00EC4B50">
        <w:rPr>
          <w:rFonts w:ascii="Times New Roman" w:hAnsi="Times New Roman" w:cs="Times New Roman"/>
          <w:bCs/>
          <w:iCs/>
          <w:szCs w:val="20"/>
        </w:rPr>
        <w:t xml:space="preserve">pproximation and </w:t>
      </w:r>
      <w:r>
        <w:rPr>
          <w:rFonts w:ascii="Times New Roman" w:hAnsi="Times New Roman" w:cs="Times New Roman"/>
          <w:bCs/>
          <w:iCs/>
          <w:szCs w:val="20"/>
        </w:rPr>
        <w:t>p</w:t>
      </w:r>
      <w:r w:rsidRPr="00EC4B50">
        <w:rPr>
          <w:rFonts w:ascii="Times New Roman" w:hAnsi="Times New Roman" w:cs="Times New Roman"/>
          <w:bCs/>
          <w:iCs/>
          <w:szCs w:val="20"/>
        </w:rPr>
        <w:t>rojection</w:t>
      </w:r>
      <w:r>
        <w:rPr>
          <w:rFonts w:ascii="Times New Roman" w:hAnsi="Times New Roman" w:cs="Times New Roman"/>
          <w:bCs/>
          <w:iCs/>
          <w:szCs w:val="20"/>
        </w:rPr>
        <w:t>;</w:t>
      </w:r>
      <w:r w:rsidRPr="00EC4B50">
        <w:rPr>
          <w:rFonts w:ascii="Times New Roman" w:hAnsi="Times New Roman" w:cs="Times New Roman"/>
          <w:bCs/>
          <w:iCs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szCs w:val="20"/>
        </w:rPr>
        <w:t xml:space="preserve">scRNA-seq, single cell RNA-sequencing; </w:t>
      </w:r>
      <w:r w:rsidRPr="00EC4B50">
        <w:rPr>
          <w:rFonts w:ascii="Times New Roman" w:hAnsi="Times New Roman" w:cs="Times New Roman"/>
          <w:bCs/>
          <w:iCs/>
          <w:szCs w:val="20"/>
        </w:rPr>
        <w:t>TNBC</w:t>
      </w:r>
      <w:r>
        <w:rPr>
          <w:rFonts w:ascii="Times New Roman" w:hAnsi="Times New Roman" w:cs="Times New Roman"/>
          <w:bCs/>
          <w:iCs/>
          <w:szCs w:val="20"/>
        </w:rPr>
        <w:t>,</w:t>
      </w:r>
      <w:r w:rsidRPr="00EC4B50">
        <w:rPr>
          <w:rFonts w:ascii="Times New Roman" w:hAnsi="Times New Roman" w:cs="Times New Roman"/>
          <w:bCs/>
          <w:iCs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szCs w:val="20"/>
        </w:rPr>
        <w:t>t</w:t>
      </w:r>
      <w:r w:rsidRPr="00EC4B50">
        <w:rPr>
          <w:rFonts w:ascii="Times New Roman" w:hAnsi="Times New Roman" w:cs="Times New Roman"/>
          <w:bCs/>
          <w:iCs/>
          <w:szCs w:val="20"/>
        </w:rPr>
        <w:t>riple</w:t>
      </w:r>
      <w:r>
        <w:rPr>
          <w:rFonts w:ascii="Times New Roman" w:hAnsi="Times New Roman" w:cs="Times New Roman"/>
          <w:bCs/>
          <w:iCs/>
          <w:szCs w:val="20"/>
        </w:rPr>
        <w:t xml:space="preserve"> n</w:t>
      </w:r>
      <w:r w:rsidRPr="00EC4B50">
        <w:rPr>
          <w:rFonts w:ascii="Times New Roman" w:hAnsi="Times New Roman" w:cs="Times New Roman"/>
          <w:bCs/>
          <w:iCs/>
          <w:szCs w:val="20"/>
        </w:rPr>
        <w:t xml:space="preserve">egative </w:t>
      </w:r>
      <w:r>
        <w:rPr>
          <w:rFonts w:ascii="Times New Roman" w:hAnsi="Times New Roman" w:cs="Times New Roman"/>
          <w:bCs/>
          <w:iCs/>
          <w:szCs w:val="20"/>
        </w:rPr>
        <w:t>b</w:t>
      </w:r>
      <w:r w:rsidRPr="00EC4B50">
        <w:rPr>
          <w:rFonts w:ascii="Times New Roman" w:hAnsi="Times New Roman" w:cs="Times New Roman"/>
          <w:bCs/>
          <w:iCs/>
          <w:szCs w:val="20"/>
        </w:rPr>
        <w:t xml:space="preserve">reast </w:t>
      </w:r>
      <w:r>
        <w:rPr>
          <w:rFonts w:ascii="Times New Roman" w:hAnsi="Times New Roman" w:cs="Times New Roman"/>
          <w:bCs/>
          <w:iCs/>
          <w:szCs w:val="20"/>
        </w:rPr>
        <w:t>c</w:t>
      </w:r>
      <w:r w:rsidRPr="00EC4B50">
        <w:rPr>
          <w:rFonts w:ascii="Times New Roman" w:hAnsi="Times New Roman" w:cs="Times New Roman"/>
          <w:bCs/>
          <w:iCs/>
          <w:szCs w:val="20"/>
        </w:rPr>
        <w:t>ancer</w:t>
      </w:r>
      <w:r w:rsidR="003C3E1E">
        <w:rPr>
          <w:rFonts w:ascii="Times New Roman" w:hAnsi="Times New Roman" w:cs="Times New Roman"/>
          <w:bCs/>
          <w:iCs/>
          <w:szCs w:val="20"/>
        </w:rPr>
        <w:t>; **** denotes P &lt; 0.0001</w:t>
      </w:r>
    </w:p>
    <w:p w14:paraId="0A9C8C2C" w14:textId="32BA28A9" w:rsidR="00651710" w:rsidRDefault="00651710" w:rsidP="008B5B56">
      <w:pPr>
        <w:widowControl/>
        <w:wordWrap/>
        <w:autoSpaceDE/>
        <w:autoSpaceDN/>
        <w:spacing w:after="0" w:line="480" w:lineRule="auto"/>
      </w:pPr>
    </w:p>
    <w:p w14:paraId="244D5973" w14:textId="6E55446E" w:rsidR="00E02B6C" w:rsidRDefault="00E02B6C" w:rsidP="008B5B56">
      <w:pPr>
        <w:widowControl/>
        <w:wordWrap/>
        <w:autoSpaceDE/>
        <w:autoSpaceDN/>
        <w:spacing w:after="0" w:line="480" w:lineRule="auto"/>
      </w:pPr>
      <w:r>
        <w:rPr>
          <w:noProof/>
        </w:rPr>
        <w:lastRenderedPageBreak/>
        <w:drawing>
          <wp:inline distT="0" distB="0" distL="0" distR="0" wp14:anchorId="582F27C5" wp14:editId="143B4F9B">
            <wp:extent cx="4572000" cy="4572000"/>
            <wp:effectExtent l="0" t="0" r="0" b="0"/>
            <wp:docPr id="1204101391" name="Picture 2" descr="A graph with numbers and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101391" name="Picture 2" descr="A graph with numbers and dot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9044C6" w14:textId="50E789DC" w:rsidR="00651710" w:rsidRPr="006B2271" w:rsidRDefault="00651710" w:rsidP="00651710">
      <w:pPr>
        <w:widowControl/>
        <w:wordWrap/>
        <w:autoSpaceDE/>
        <w:autoSpaceDN/>
        <w:spacing w:after="0" w:line="480" w:lineRule="auto"/>
        <w:rPr>
          <w:rFonts w:ascii="Times New Roman" w:hAnsi="Times New Roman" w:cs="Times New Roman"/>
          <w:bCs/>
          <w:iCs/>
          <w:szCs w:val="20"/>
        </w:rPr>
      </w:pPr>
      <w:r>
        <w:rPr>
          <w:rFonts w:ascii="Times New Roman" w:hAnsi="Times New Roman" w:cs="Times New Roman"/>
          <w:bCs/>
          <w:iCs/>
          <w:szCs w:val="20"/>
        </w:rPr>
        <w:t xml:space="preserve">Supplementary </w:t>
      </w:r>
      <w:r w:rsidRPr="006B2271">
        <w:rPr>
          <w:rFonts w:ascii="Times New Roman" w:hAnsi="Times New Roman" w:cs="Times New Roman"/>
          <w:bCs/>
          <w:iCs/>
          <w:szCs w:val="20"/>
        </w:rPr>
        <w:t xml:space="preserve">Figure </w:t>
      </w:r>
      <w:r>
        <w:rPr>
          <w:rFonts w:ascii="Times New Roman" w:hAnsi="Times New Roman" w:cs="Times New Roman"/>
          <w:bCs/>
          <w:iCs/>
          <w:szCs w:val="20"/>
        </w:rPr>
        <w:t>2</w:t>
      </w:r>
      <w:r w:rsidRPr="006B2271">
        <w:rPr>
          <w:rFonts w:ascii="Times New Roman" w:hAnsi="Times New Roman" w:cs="Times New Roman"/>
          <w:bCs/>
          <w:iCs/>
          <w:szCs w:val="20"/>
        </w:rPr>
        <w:t xml:space="preserve">. UMAP </w:t>
      </w:r>
      <w:r>
        <w:rPr>
          <w:rFonts w:ascii="Times New Roman" w:hAnsi="Times New Roman" w:cs="Times New Roman"/>
          <w:bCs/>
          <w:iCs/>
          <w:szCs w:val="20"/>
        </w:rPr>
        <w:t>a</w:t>
      </w:r>
      <w:r w:rsidRPr="006B2271">
        <w:rPr>
          <w:rFonts w:ascii="Times New Roman" w:hAnsi="Times New Roman" w:cs="Times New Roman"/>
          <w:bCs/>
          <w:iCs/>
          <w:szCs w:val="20"/>
        </w:rPr>
        <w:t xml:space="preserve">nalysis </w:t>
      </w:r>
      <w:r>
        <w:rPr>
          <w:rFonts w:ascii="Times New Roman" w:hAnsi="Times New Roman" w:cs="Times New Roman"/>
          <w:bCs/>
          <w:iCs/>
          <w:szCs w:val="20"/>
        </w:rPr>
        <w:t>results in</w:t>
      </w:r>
      <w:r w:rsidRPr="006B2271">
        <w:rPr>
          <w:rFonts w:ascii="Times New Roman" w:hAnsi="Times New Roman" w:cs="Times New Roman"/>
          <w:bCs/>
          <w:iCs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szCs w:val="20"/>
        </w:rPr>
        <w:t>bulk RNA</w:t>
      </w:r>
      <w:r w:rsidRPr="006B2271">
        <w:rPr>
          <w:rFonts w:ascii="Times New Roman" w:hAnsi="Times New Roman" w:cs="Times New Roman"/>
          <w:bCs/>
          <w:iCs/>
          <w:szCs w:val="20"/>
        </w:rPr>
        <w:t xml:space="preserve">-seq </w:t>
      </w:r>
      <w:r>
        <w:rPr>
          <w:rFonts w:ascii="Times New Roman" w:hAnsi="Times New Roman" w:cs="Times New Roman"/>
          <w:bCs/>
          <w:iCs/>
          <w:szCs w:val="20"/>
        </w:rPr>
        <w:t>d</w:t>
      </w:r>
      <w:r w:rsidRPr="006B2271">
        <w:rPr>
          <w:rFonts w:ascii="Times New Roman" w:hAnsi="Times New Roman" w:cs="Times New Roman"/>
          <w:bCs/>
          <w:iCs/>
          <w:szCs w:val="20"/>
        </w:rPr>
        <w:t>ata</w:t>
      </w:r>
    </w:p>
    <w:p w14:paraId="05AB3427" w14:textId="2C26CC86" w:rsidR="00651710" w:rsidRDefault="00651710" w:rsidP="00651710">
      <w:pPr>
        <w:widowControl/>
        <w:wordWrap/>
        <w:autoSpaceDE/>
        <w:autoSpaceDN/>
        <w:spacing w:after="0" w:line="480" w:lineRule="auto"/>
        <w:rPr>
          <w:rFonts w:ascii="Times New Roman" w:hAnsi="Times New Roman" w:cs="Times New Roman"/>
          <w:bCs/>
          <w:iCs/>
          <w:szCs w:val="20"/>
        </w:rPr>
      </w:pPr>
      <w:r w:rsidRPr="006B2271">
        <w:rPr>
          <w:rFonts w:ascii="Times New Roman" w:hAnsi="Times New Roman" w:cs="Times New Roman"/>
          <w:bCs/>
          <w:iCs/>
          <w:szCs w:val="20"/>
        </w:rPr>
        <w:t xml:space="preserve">UMAP analysis was performed on combined </w:t>
      </w:r>
      <w:r>
        <w:rPr>
          <w:rFonts w:ascii="Times New Roman" w:hAnsi="Times New Roman" w:cs="Times New Roman"/>
          <w:bCs/>
          <w:iCs/>
          <w:szCs w:val="20"/>
        </w:rPr>
        <w:t>bulk RNA</w:t>
      </w:r>
      <w:r w:rsidRPr="006B2271">
        <w:rPr>
          <w:rFonts w:ascii="Times New Roman" w:hAnsi="Times New Roman" w:cs="Times New Roman"/>
          <w:bCs/>
          <w:iCs/>
          <w:szCs w:val="20"/>
        </w:rPr>
        <w:t xml:space="preserve">-seq </w:t>
      </w:r>
      <w:r>
        <w:rPr>
          <w:rFonts w:ascii="Times New Roman" w:hAnsi="Times New Roman" w:cs="Times New Roman"/>
          <w:bCs/>
          <w:iCs/>
          <w:szCs w:val="20"/>
        </w:rPr>
        <w:t>d</w:t>
      </w:r>
      <w:r w:rsidRPr="006B2271">
        <w:rPr>
          <w:rFonts w:ascii="Times New Roman" w:hAnsi="Times New Roman" w:cs="Times New Roman"/>
          <w:bCs/>
          <w:iCs/>
          <w:szCs w:val="20"/>
        </w:rPr>
        <w:t xml:space="preserve">ata encompassing both normal breast and TNBC </w:t>
      </w:r>
      <w:r>
        <w:rPr>
          <w:rFonts w:ascii="Times New Roman" w:hAnsi="Times New Roman" w:cs="Times New Roman"/>
          <w:bCs/>
          <w:iCs/>
          <w:szCs w:val="20"/>
        </w:rPr>
        <w:t>tissues</w:t>
      </w:r>
      <w:r w:rsidRPr="006B2271">
        <w:rPr>
          <w:rFonts w:ascii="Times New Roman" w:hAnsi="Times New Roman" w:cs="Times New Roman"/>
          <w:bCs/>
          <w:iCs/>
          <w:szCs w:val="20"/>
        </w:rPr>
        <w:t xml:space="preserve">. The UMAP plot illustrates distinct clustering patterns between normal and TNBC </w:t>
      </w:r>
      <w:r w:rsidR="00710999">
        <w:rPr>
          <w:rFonts w:ascii="Times New Roman" w:hAnsi="Times New Roman" w:cs="Times New Roman"/>
          <w:bCs/>
          <w:iCs/>
          <w:szCs w:val="20"/>
        </w:rPr>
        <w:t>tissues</w:t>
      </w:r>
      <w:r w:rsidRPr="006B2271">
        <w:rPr>
          <w:rFonts w:ascii="Times New Roman" w:hAnsi="Times New Roman" w:cs="Times New Roman"/>
          <w:bCs/>
          <w:iCs/>
          <w:szCs w:val="20"/>
        </w:rPr>
        <w:t>, highlighting their differential expression profiles.</w:t>
      </w:r>
    </w:p>
    <w:p w14:paraId="13FC75F1" w14:textId="506FE35C" w:rsidR="00651710" w:rsidRDefault="00651710" w:rsidP="00651710">
      <w:pPr>
        <w:widowControl/>
        <w:wordWrap/>
        <w:autoSpaceDE/>
        <w:autoSpaceDN/>
        <w:spacing w:after="0" w:line="480" w:lineRule="auto"/>
        <w:rPr>
          <w:rFonts w:ascii="Times New Roman" w:hAnsi="Times New Roman" w:cs="Times New Roman"/>
          <w:bCs/>
          <w:iCs/>
          <w:szCs w:val="20"/>
        </w:rPr>
      </w:pPr>
      <w:r w:rsidRPr="00EC4B50">
        <w:rPr>
          <w:rFonts w:ascii="Times New Roman" w:hAnsi="Times New Roman" w:cs="Times New Roman"/>
          <w:bCs/>
          <w:iCs/>
          <w:szCs w:val="20"/>
        </w:rPr>
        <w:t>UMAP</w:t>
      </w:r>
      <w:r>
        <w:rPr>
          <w:rFonts w:ascii="Times New Roman" w:hAnsi="Times New Roman" w:cs="Times New Roman"/>
          <w:bCs/>
          <w:iCs/>
          <w:szCs w:val="20"/>
        </w:rPr>
        <w:t>, u</w:t>
      </w:r>
      <w:r w:rsidRPr="00EC4B50">
        <w:rPr>
          <w:rFonts w:ascii="Times New Roman" w:hAnsi="Times New Roman" w:cs="Times New Roman"/>
          <w:bCs/>
          <w:iCs/>
          <w:szCs w:val="20"/>
        </w:rPr>
        <w:t xml:space="preserve">niform </w:t>
      </w:r>
      <w:r>
        <w:rPr>
          <w:rFonts w:ascii="Times New Roman" w:hAnsi="Times New Roman" w:cs="Times New Roman"/>
          <w:bCs/>
          <w:iCs/>
          <w:szCs w:val="20"/>
        </w:rPr>
        <w:t>m</w:t>
      </w:r>
      <w:r w:rsidRPr="00EC4B50">
        <w:rPr>
          <w:rFonts w:ascii="Times New Roman" w:hAnsi="Times New Roman" w:cs="Times New Roman"/>
          <w:bCs/>
          <w:iCs/>
          <w:szCs w:val="20"/>
        </w:rPr>
        <w:t xml:space="preserve">anifold </w:t>
      </w:r>
      <w:r>
        <w:rPr>
          <w:rFonts w:ascii="Times New Roman" w:hAnsi="Times New Roman" w:cs="Times New Roman"/>
          <w:bCs/>
          <w:iCs/>
          <w:szCs w:val="20"/>
        </w:rPr>
        <w:t>a</w:t>
      </w:r>
      <w:r w:rsidRPr="00EC4B50">
        <w:rPr>
          <w:rFonts w:ascii="Times New Roman" w:hAnsi="Times New Roman" w:cs="Times New Roman"/>
          <w:bCs/>
          <w:iCs/>
          <w:szCs w:val="20"/>
        </w:rPr>
        <w:t xml:space="preserve">pproximation and </w:t>
      </w:r>
      <w:r>
        <w:rPr>
          <w:rFonts w:ascii="Times New Roman" w:hAnsi="Times New Roman" w:cs="Times New Roman"/>
          <w:bCs/>
          <w:iCs/>
          <w:szCs w:val="20"/>
        </w:rPr>
        <w:t>p</w:t>
      </w:r>
      <w:r w:rsidRPr="00EC4B50">
        <w:rPr>
          <w:rFonts w:ascii="Times New Roman" w:hAnsi="Times New Roman" w:cs="Times New Roman"/>
          <w:bCs/>
          <w:iCs/>
          <w:szCs w:val="20"/>
        </w:rPr>
        <w:t>rojection</w:t>
      </w:r>
      <w:r>
        <w:rPr>
          <w:rFonts w:ascii="Times New Roman" w:hAnsi="Times New Roman" w:cs="Times New Roman"/>
          <w:bCs/>
          <w:iCs/>
          <w:szCs w:val="20"/>
        </w:rPr>
        <w:t>;</w:t>
      </w:r>
      <w:r w:rsidRPr="00EC4B50">
        <w:rPr>
          <w:rFonts w:ascii="Times New Roman" w:hAnsi="Times New Roman" w:cs="Times New Roman"/>
          <w:bCs/>
          <w:iCs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szCs w:val="20"/>
        </w:rPr>
        <w:t xml:space="preserve">RNA-seq, RNA-sequencing; </w:t>
      </w:r>
      <w:r w:rsidRPr="00EC4B50">
        <w:rPr>
          <w:rFonts w:ascii="Times New Roman" w:hAnsi="Times New Roman" w:cs="Times New Roman"/>
          <w:bCs/>
          <w:iCs/>
          <w:szCs w:val="20"/>
        </w:rPr>
        <w:t>TNBC</w:t>
      </w:r>
      <w:r>
        <w:rPr>
          <w:rFonts w:ascii="Times New Roman" w:hAnsi="Times New Roman" w:cs="Times New Roman"/>
          <w:bCs/>
          <w:iCs/>
          <w:szCs w:val="20"/>
        </w:rPr>
        <w:t>,</w:t>
      </w:r>
      <w:r w:rsidRPr="00EC4B50">
        <w:rPr>
          <w:rFonts w:ascii="Times New Roman" w:hAnsi="Times New Roman" w:cs="Times New Roman"/>
          <w:bCs/>
          <w:iCs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szCs w:val="20"/>
        </w:rPr>
        <w:t>t</w:t>
      </w:r>
      <w:r w:rsidRPr="00EC4B50">
        <w:rPr>
          <w:rFonts w:ascii="Times New Roman" w:hAnsi="Times New Roman" w:cs="Times New Roman"/>
          <w:bCs/>
          <w:iCs/>
          <w:szCs w:val="20"/>
        </w:rPr>
        <w:t>riple</w:t>
      </w:r>
      <w:r>
        <w:rPr>
          <w:rFonts w:ascii="Times New Roman" w:hAnsi="Times New Roman" w:cs="Times New Roman"/>
          <w:bCs/>
          <w:iCs/>
          <w:szCs w:val="20"/>
        </w:rPr>
        <w:t xml:space="preserve"> n</w:t>
      </w:r>
      <w:r w:rsidRPr="00EC4B50">
        <w:rPr>
          <w:rFonts w:ascii="Times New Roman" w:hAnsi="Times New Roman" w:cs="Times New Roman"/>
          <w:bCs/>
          <w:iCs/>
          <w:szCs w:val="20"/>
        </w:rPr>
        <w:t xml:space="preserve">egative </w:t>
      </w:r>
      <w:r>
        <w:rPr>
          <w:rFonts w:ascii="Times New Roman" w:hAnsi="Times New Roman" w:cs="Times New Roman"/>
          <w:bCs/>
          <w:iCs/>
          <w:szCs w:val="20"/>
        </w:rPr>
        <w:t>b</w:t>
      </w:r>
      <w:r w:rsidRPr="00EC4B50">
        <w:rPr>
          <w:rFonts w:ascii="Times New Roman" w:hAnsi="Times New Roman" w:cs="Times New Roman"/>
          <w:bCs/>
          <w:iCs/>
          <w:szCs w:val="20"/>
        </w:rPr>
        <w:t xml:space="preserve">reast </w:t>
      </w:r>
      <w:r>
        <w:rPr>
          <w:rFonts w:ascii="Times New Roman" w:hAnsi="Times New Roman" w:cs="Times New Roman"/>
          <w:bCs/>
          <w:iCs/>
          <w:szCs w:val="20"/>
        </w:rPr>
        <w:t>c</w:t>
      </w:r>
      <w:r w:rsidRPr="00EC4B50">
        <w:rPr>
          <w:rFonts w:ascii="Times New Roman" w:hAnsi="Times New Roman" w:cs="Times New Roman"/>
          <w:bCs/>
          <w:iCs/>
          <w:szCs w:val="20"/>
        </w:rPr>
        <w:t>ancer</w:t>
      </w:r>
    </w:p>
    <w:p w14:paraId="2AB6A979" w14:textId="77777777" w:rsidR="00651710" w:rsidRPr="00651710" w:rsidRDefault="00651710" w:rsidP="008B5B56">
      <w:pPr>
        <w:widowControl/>
        <w:wordWrap/>
        <w:autoSpaceDE/>
        <w:autoSpaceDN/>
        <w:spacing w:after="0" w:line="480" w:lineRule="auto"/>
      </w:pPr>
    </w:p>
    <w:sectPr w:rsidR="00651710" w:rsidRPr="00651710">
      <w:footerReference w:type="even" r:id="rId8"/>
      <w:footerReference w:type="default" r:id="rId9"/>
      <w:footerReference w:type="firs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29918" w14:textId="77777777" w:rsidR="00DC7692" w:rsidRDefault="00DC7692" w:rsidP="00C4221E">
      <w:pPr>
        <w:spacing w:after="0" w:line="240" w:lineRule="auto"/>
      </w:pPr>
      <w:r>
        <w:separator/>
      </w:r>
    </w:p>
  </w:endnote>
  <w:endnote w:type="continuationSeparator" w:id="0">
    <w:p w14:paraId="0950480A" w14:textId="77777777" w:rsidR="00DC7692" w:rsidRDefault="00DC7692" w:rsidP="00C42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17FD3" w14:textId="2AD24496" w:rsidR="00E02B6C" w:rsidRDefault="00E02B6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F9E07BB" wp14:editId="64DCD8E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35280"/>
              <wp:effectExtent l="0" t="0" r="18415" b="0"/>
              <wp:wrapNone/>
              <wp:docPr id="32280098" name="Text Box 4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724BA3" w14:textId="3DCC9425" w:rsidR="00E02B6C" w:rsidRPr="00E02B6C" w:rsidRDefault="00E02B6C" w:rsidP="00E02B6C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E02B6C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9E07B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Information Classification: General" style="position:absolute;left:0;text-align:left;margin-left:0;margin-top:0;width:163.55pt;height:26.4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6A724BA3" w14:textId="3DCC9425" w:rsidR="00E02B6C" w:rsidRPr="00E02B6C" w:rsidRDefault="00E02B6C" w:rsidP="00E02B6C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E02B6C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3C61" w14:textId="11AA049E" w:rsidR="00E02B6C" w:rsidRDefault="00E02B6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27FD6D3" wp14:editId="7A5944DE">
              <wp:simplePos x="914400" y="972502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35280"/>
              <wp:effectExtent l="0" t="0" r="18415" b="0"/>
              <wp:wrapNone/>
              <wp:docPr id="10944953" name="Text Box 5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5B893F" w14:textId="11AD192B" w:rsidR="00E02B6C" w:rsidRPr="00E02B6C" w:rsidRDefault="00E02B6C" w:rsidP="00E02B6C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E02B6C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7FD6D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Information Classification: General" style="position:absolute;left:0;text-align:left;margin-left:0;margin-top:0;width:163.55pt;height:26.4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4B5B893F" w14:textId="11AD192B" w:rsidR="00E02B6C" w:rsidRPr="00E02B6C" w:rsidRDefault="00E02B6C" w:rsidP="00E02B6C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E02B6C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D59B" w14:textId="7E7DED1F" w:rsidR="00E02B6C" w:rsidRDefault="00E02B6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FFEC475" wp14:editId="34EDD7E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35280"/>
              <wp:effectExtent l="0" t="0" r="18415" b="0"/>
              <wp:wrapNone/>
              <wp:docPr id="1221740436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28660A" w14:textId="25DF4C93" w:rsidR="00E02B6C" w:rsidRPr="00E02B6C" w:rsidRDefault="00E02B6C" w:rsidP="00E02B6C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E02B6C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FEC47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Information Classification: General" style="position:absolute;left:0;text-align:left;margin-left:0;margin-top:0;width:163.55pt;height:26.4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" filled="f" stroked="f">
              <v:fill o:detectmouseclick="t"/>
              <v:textbox style="mso-fit-shape-to-text:t" inset="20pt,0,0,15pt">
                <w:txbxContent>
                  <w:p w14:paraId="2128660A" w14:textId="25DF4C93" w:rsidR="00E02B6C" w:rsidRPr="00E02B6C" w:rsidRDefault="00E02B6C" w:rsidP="00E02B6C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E02B6C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D0658" w14:textId="77777777" w:rsidR="00DC7692" w:rsidRDefault="00DC7692" w:rsidP="00C4221E">
      <w:pPr>
        <w:spacing w:after="0" w:line="240" w:lineRule="auto"/>
      </w:pPr>
      <w:r>
        <w:separator/>
      </w:r>
    </w:p>
  </w:footnote>
  <w:footnote w:type="continuationSeparator" w:id="0">
    <w:p w14:paraId="3BD51A4B" w14:textId="77777777" w:rsidR="00DC7692" w:rsidRDefault="00DC7692" w:rsidP="00C42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541"/>
    <w:rsid w:val="000B54D6"/>
    <w:rsid w:val="00112632"/>
    <w:rsid w:val="00272068"/>
    <w:rsid w:val="003C3E1E"/>
    <w:rsid w:val="00537E06"/>
    <w:rsid w:val="00651710"/>
    <w:rsid w:val="00695EAB"/>
    <w:rsid w:val="006A634B"/>
    <w:rsid w:val="00710999"/>
    <w:rsid w:val="008833BF"/>
    <w:rsid w:val="008B5B56"/>
    <w:rsid w:val="00961541"/>
    <w:rsid w:val="00A95AF3"/>
    <w:rsid w:val="00BE68CA"/>
    <w:rsid w:val="00C100CB"/>
    <w:rsid w:val="00C4221E"/>
    <w:rsid w:val="00C86869"/>
    <w:rsid w:val="00D13151"/>
    <w:rsid w:val="00DC7692"/>
    <w:rsid w:val="00E02B6C"/>
    <w:rsid w:val="00F1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AD6DE8"/>
  <w14:defaultImageDpi w14:val="32767"/>
  <w15:chartTrackingRefBased/>
  <w15:docId w15:val="{C40F3EEB-6D0F-4CFF-A0FC-81735FAD4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21E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221E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C4221E"/>
  </w:style>
  <w:style w:type="paragraph" w:styleId="Footer">
    <w:name w:val="footer"/>
    <w:basedOn w:val="Normal"/>
    <w:link w:val="FooterChar"/>
    <w:uiPriority w:val="99"/>
    <w:unhideWhenUsed/>
    <w:rsid w:val="00C4221E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42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이현종</dc:creator>
  <cp:keywords/>
  <dc:description/>
  <cp:lastModifiedBy>Shaw, Grace</cp:lastModifiedBy>
  <cp:revision>14</cp:revision>
  <dcterms:created xsi:type="dcterms:W3CDTF">2024-03-28T03:33:00Z</dcterms:created>
  <dcterms:modified xsi:type="dcterms:W3CDTF">2025-12-19T04:23:00Z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48d24794,1ec8e22,a701b9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2025-12-19T04:23:30Z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247102a4-3c3f-4d17-ae8d-b53f369108b4</vt:lpwstr>
  </property>
  <property fmtid="{D5CDD505-2E9C-101B-9397-08002B2CF9AE}" pid="11" name="MSIP_Label_2bbab825-a111-45e4-86a1-18cee0005896_ContentBits">
    <vt:lpwstr>2</vt:lpwstr>
  </property>
  <property fmtid="{D5CDD505-2E9C-101B-9397-08002B2CF9AE}" pid="12" name="MSIP_Label_2bbab825-a111-45e4-86a1-18cee0005896_Tag">
    <vt:lpwstr>10, 3, 0, 1</vt:lpwstr>
  </property>
</Properties>
</file>